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525" w:rsidRPr="00465525" w:rsidRDefault="00465525" w:rsidP="00465525">
      <w:pPr>
        <w:spacing w:line="480" w:lineRule="auto"/>
        <w:rPr>
          <w:rFonts w:ascii="Times New Roman" w:hAnsi="Times New Roman" w:cs="Times New Roman"/>
          <w:sz w:val="24"/>
        </w:rPr>
      </w:pPr>
    </w:p>
    <w:p w:rsidR="00465525" w:rsidRPr="00465525" w:rsidRDefault="00465525" w:rsidP="00465525">
      <w:pPr>
        <w:spacing w:line="480" w:lineRule="auto"/>
        <w:rPr>
          <w:rFonts w:ascii="Times New Roman" w:hAnsi="Times New Roman" w:cs="Times New Roman"/>
          <w:sz w:val="24"/>
        </w:rPr>
      </w:pPr>
    </w:p>
    <w:p w:rsidR="00465525" w:rsidRPr="00465525" w:rsidRDefault="00465525" w:rsidP="00465525">
      <w:pPr>
        <w:spacing w:line="480" w:lineRule="auto"/>
        <w:rPr>
          <w:rFonts w:ascii="Times New Roman" w:hAnsi="Times New Roman" w:cs="Times New Roman"/>
          <w:sz w:val="24"/>
        </w:rPr>
      </w:pPr>
    </w:p>
    <w:p w:rsidR="00465525" w:rsidRPr="00465525" w:rsidRDefault="00465525" w:rsidP="00465525">
      <w:pPr>
        <w:spacing w:line="480" w:lineRule="auto"/>
        <w:rPr>
          <w:rFonts w:ascii="Times New Roman" w:hAnsi="Times New Roman" w:cs="Times New Roman"/>
          <w:sz w:val="24"/>
        </w:rPr>
      </w:pPr>
    </w:p>
    <w:p w:rsidR="00465525" w:rsidRPr="00465525" w:rsidRDefault="00465525" w:rsidP="00465525">
      <w:pPr>
        <w:spacing w:line="480" w:lineRule="auto"/>
        <w:rPr>
          <w:rFonts w:ascii="Times New Roman" w:hAnsi="Times New Roman" w:cs="Times New Roman"/>
          <w:sz w:val="24"/>
        </w:rPr>
      </w:pPr>
    </w:p>
    <w:p w:rsidR="00465525" w:rsidRPr="00465525" w:rsidRDefault="00465525" w:rsidP="00465525">
      <w:pPr>
        <w:spacing w:line="480" w:lineRule="auto"/>
        <w:rPr>
          <w:rFonts w:ascii="Times New Roman" w:hAnsi="Times New Roman" w:cs="Times New Roman"/>
          <w:sz w:val="24"/>
        </w:rPr>
      </w:pPr>
    </w:p>
    <w:p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t>Internet Service Providers</w:t>
      </w:r>
    </w:p>
    <w:p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t>Name of Student</w:t>
      </w:r>
    </w:p>
    <w:p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t>Name of Institution</w:t>
      </w:r>
    </w:p>
    <w:p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t>Date</w:t>
      </w:r>
      <w:r w:rsidRPr="00465525">
        <w:rPr>
          <w:rFonts w:ascii="Times New Roman" w:hAnsi="Times New Roman" w:cs="Times New Roman"/>
          <w:sz w:val="24"/>
        </w:rPr>
        <w:br w:type="page"/>
      </w:r>
    </w:p>
    <w:p w:rsidR="00465525" w:rsidRPr="00465525" w:rsidRDefault="00465525" w:rsidP="00465525">
      <w:pPr>
        <w:spacing w:line="480" w:lineRule="auto"/>
        <w:rPr>
          <w:rFonts w:ascii="Times New Roman" w:hAnsi="Times New Roman" w:cs="Times New Roman"/>
          <w:b/>
          <w:sz w:val="24"/>
        </w:rPr>
      </w:pPr>
      <w:r w:rsidRPr="00465525">
        <w:rPr>
          <w:rFonts w:ascii="Times New Roman" w:hAnsi="Times New Roman" w:cs="Times New Roman"/>
          <w:b/>
          <w:sz w:val="24"/>
        </w:rPr>
        <w:lastRenderedPageBreak/>
        <w:t xml:space="preserve">Explain critical considerations for identifying an internet service provider for the new location and recommend the appropriate provider to match the business case. </w:t>
      </w:r>
    </w:p>
    <w:p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t xml:space="preserve">It is appropriate to consider cost efficiency, connection speed, and the type of connection offered in the evaluation of internet service providers. Internet service providers to be considered for the location are Spectrum and Century Link. The latter provides download and connection speeds of 1 Gbps in both download and upload. Century Link can customize their service through Fiber and DSL options and phone. The provider has a coverage area rating of 74.77%. The core plans for Century Link providers are plans that are neither the fastest nor the most reliable for the value of money. Spectrums has a more reliable network with lower speeds of 300 and 20 Mbps in download and upload respectively. The provider covers an area of 87.06%, has lower rates, with the price of pieces of equipment included in the package and no data caps. Spectrum services connect through Cable and Fiber, with the option for phones (Schafer, 2018). Spectrum provides its services through a broadband connection which is more reliable than that of its competitors. I, therefore, recommend Spectrum as an internet service provider for the company because of its reliable service and a higher rate of consumer satisfaction. </w:t>
      </w:r>
    </w:p>
    <w:p w:rsidR="00465525" w:rsidRPr="00465525" w:rsidRDefault="00465525" w:rsidP="00465525">
      <w:pPr>
        <w:spacing w:line="480" w:lineRule="auto"/>
        <w:rPr>
          <w:rFonts w:ascii="Times New Roman" w:hAnsi="Times New Roman" w:cs="Times New Roman"/>
          <w:b/>
          <w:sz w:val="24"/>
        </w:rPr>
      </w:pPr>
      <w:r w:rsidRPr="00465525">
        <w:rPr>
          <w:rFonts w:ascii="Times New Roman" w:hAnsi="Times New Roman" w:cs="Times New Roman"/>
          <w:b/>
          <w:sz w:val="24"/>
        </w:rPr>
        <w:t>Address considerations and make recommendations regarding hardware and software selection, printer configurations, and bandwidth that address business needs.</w:t>
      </w:r>
    </w:p>
    <w:p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t xml:space="preserve">Considerations for hardware include telephones, printers, computer peripherals, servers, PC desktops, and network pieces of equipment inclusive of switches and routers. Software, on the other hand, includes operating systems, security programs, and business tools. Both hardware and software configurations have to abide by the firm's objectives. </w:t>
      </w:r>
    </w:p>
    <w:p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lastRenderedPageBreak/>
        <w:t xml:space="preserve">The configuration of the printer will ensure that it serves its purpose as expected. Printing control configuration is critical to ensuring that the device allows for the function via the internet. Control panel and file system passwords should replace the default administrative password. Also, the SMTP server service should be disabled. </w:t>
      </w:r>
    </w:p>
    <w:p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t xml:space="preserve">Teleconferencing is a critical feature for the organization for both the 50 employees with designated workspace in the location and those who work from home. Configuration of teleconferencing could utilize tools such as web-based conferencing platforms, and also Skype. The least required bandwidth to support the function for inbound servers is 50 Mbps, while the speed is at 312 Mbps for the outbound servers. However, the configuration should include between 50-70% extra capacity to facilitate better communication and optimal performance (Le &amp; Nguyen, 2012). </w:t>
      </w:r>
    </w:p>
    <w:p w:rsidR="00465525" w:rsidRPr="00465525" w:rsidRDefault="00465525" w:rsidP="00465525">
      <w:pPr>
        <w:spacing w:line="480" w:lineRule="auto"/>
        <w:rPr>
          <w:rFonts w:ascii="Times New Roman" w:hAnsi="Times New Roman" w:cs="Times New Roman"/>
          <w:sz w:val="24"/>
        </w:rPr>
      </w:pPr>
      <w:r w:rsidRPr="00465525">
        <w:rPr>
          <w:rFonts w:ascii="Times New Roman" w:hAnsi="Times New Roman" w:cs="Times New Roman"/>
          <w:sz w:val="24"/>
        </w:rPr>
        <w:br w:type="page"/>
      </w:r>
    </w:p>
    <w:p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lastRenderedPageBreak/>
        <w:t>References</w:t>
      </w:r>
    </w:p>
    <w:p w:rsidR="00465525" w:rsidRPr="00465525" w:rsidRDefault="00465525" w:rsidP="00465525">
      <w:pPr>
        <w:spacing w:line="480" w:lineRule="auto"/>
        <w:ind w:left="720" w:hanging="720"/>
        <w:rPr>
          <w:rFonts w:ascii="Times New Roman" w:hAnsi="Times New Roman" w:cs="Times New Roman"/>
          <w:sz w:val="24"/>
        </w:rPr>
      </w:pPr>
      <w:r w:rsidRPr="00465525">
        <w:rPr>
          <w:rFonts w:ascii="Times New Roman" w:hAnsi="Times New Roman" w:cs="Times New Roman"/>
          <w:sz w:val="24"/>
        </w:rPr>
        <w:t>Le, T. A., &amp; Nguyen, H. (2012). Application-aware cost function and its performance evaluation over scalable video conferencing services on heterogeneous networks. IEEE Wireless Communications and Networking Conference (WCNC) (pp. 2185-2190). IEEE.</w:t>
      </w:r>
    </w:p>
    <w:p w:rsidR="00465525" w:rsidRPr="00465525" w:rsidRDefault="00465525" w:rsidP="00465525">
      <w:pPr>
        <w:spacing w:line="480" w:lineRule="auto"/>
        <w:ind w:left="720" w:hanging="720"/>
        <w:rPr>
          <w:rFonts w:ascii="Times New Roman" w:hAnsi="Times New Roman" w:cs="Times New Roman"/>
          <w:sz w:val="24"/>
        </w:rPr>
      </w:pPr>
      <w:r w:rsidRPr="00465525">
        <w:rPr>
          <w:rFonts w:ascii="Times New Roman" w:hAnsi="Times New Roman" w:cs="Times New Roman"/>
          <w:sz w:val="24"/>
        </w:rPr>
        <w:t>Schafer, D. (2018, March 21). CenturyLink vs. Spectrum. Retrieved October 2, 2019, from High-Speed Internet.com: https://www.highspeedinternet.com/resources/centurylink-vs-time-warner-cable</w:t>
      </w:r>
    </w:p>
    <w:p w:rsidR="003971D5" w:rsidRPr="00465525" w:rsidRDefault="003971D5" w:rsidP="00465525">
      <w:pPr>
        <w:spacing w:line="480" w:lineRule="auto"/>
        <w:rPr>
          <w:rFonts w:ascii="Times New Roman" w:hAnsi="Times New Roman" w:cs="Times New Roman"/>
          <w:sz w:val="24"/>
          <w:szCs w:val="24"/>
        </w:rPr>
      </w:pPr>
    </w:p>
    <w:sectPr w:rsidR="003971D5" w:rsidRPr="00465525" w:rsidSect="00094B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AC3" w:rsidRDefault="00A16AC3" w:rsidP="00094B78">
      <w:pPr>
        <w:spacing w:after="0" w:line="240" w:lineRule="auto"/>
      </w:pPr>
      <w:r>
        <w:separator/>
      </w:r>
    </w:p>
  </w:endnote>
  <w:endnote w:type="continuationSeparator" w:id="1">
    <w:p w:rsidR="00A16AC3" w:rsidRDefault="00A16AC3" w:rsidP="00094B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AC3" w:rsidRDefault="00A16AC3" w:rsidP="00094B78">
      <w:pPr>
        <w:spacing w:after="0" w:line="240" w:lineRule="auto"/>
      </w:pPr>
      <w:r>
        <w:separator/>
      </w:r>
    </w:p>
  </w:footnote>
  <w:footnote w:type="continuationSeparator" w:id="1">
    <w:p w:rsidR="00A16AC3" w:rsidRDefault="00A16AC3" w:rsidP="00094B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7A" w:rsidRPr="00465525" w:rsidRDefault="00CA307A" w:rsidP="00052A4F">
    <w:pPr>
      <w:pStyle w:val="Header"/>
      <w:jc w:val="right"/>
      <w:rPr>
        <w:rFonts w:ascii="Times New Roman" w:hAnsi="Times New Roman" w:cs="Times New Roman"/>
        <w:sz w:val="24"/>
      </w:rPr>
    </w:pPr>
    <w:r w:rsidRPr="00465525">
      <w:rPr>
        <w:rStyle w:val="Strong"/>
        <w:rFonts w:ascii="Times New Roman" w:hAnsi="Times New Roman" w:cs="Times New Roman"/>
        <w:b w:val="0"/>
        <w:color w:val="212C43"/>
        <w:sz w:val="24"/>
      </w:rPr>
      <w:t>INTERNET SERVICE PROVIDERS</w:t>
    </w:r>
    <w:r w:rsidRPr="00465525">
      <w:rPr>
        <w:rFonts w:ascii="Times New Roman" w:hAnsi="Times New Roman" w:cs="Times New Roman"/>
        <w:sz w:val="24"/>
      </w:rPr>
      <w:t xml:space="preserve"> </w:t>
    </w:r>
    <w:r w:rsidRPr="00465525">
      <w:rPr>
        <w:rFonts w:ascii="Times New Roman" w:hAnsi="Times New Roman" w:cs="Times New Roman"/>
        <w:sz w:val="24"/>
      </w:rPr>
      <w:tab/>
    </w:r>
    <w:r w:rsidRPr="00465525">
      <w:rPr>
        <w:rFonts w:ascii="Times New Roman" w:hAnsi="Times New Roman" w:cs="Times New Roman"/>
        <w:sz w:val="24"/>
      </w:rPr>
      <w:tab/>
    </w:r>
    <w:sdt>
      <w:sdtPr>
        <w:rPr>
          <w:rFonts w:ascii="Times New Roman" w:hAnsi="Times New Roman" w:cs="Times New Roman"/>
          <w:sz w:val="24"/>
        </w:rPr>
        <w:id w:val="1659344455"/>
        <w:docPartObj>
          <w:docPartGallery w:val="Page Numbers (Top of Page)"/>
          <w:docPartUnique/>
        </w:docPartObj>
      </w:sdtPr>
      <w:sdtEndPr>
        <w:rPr>
          <w:noProof/>
        </w:rPr>
      </w:sdtEndPr>
      <w:sdtContent>
        <w:r w:rsidRPr="00465525">
          <w:rPr>
            <w:rFonts w:ascii="Times New Roman" w:hAnsi="Times New Roman" w:cs="Times New Roman"/>
            <w:sz w:val="24"/>
          </w:rPr>
          <w:fldChar w:fldCharType="begin"/>
        </w:r>
        <w:r w:rsidRPr="00465525">
          <w:rPr>
            <w:rFonts w:ascii="Times New Roman" w:hAnsi="Times New Roman" w:cs="Times New Roman"/>
            <w:sz w:val="24"/>
          </w:rPr>
          <w:instrText xml:space="preserve"> PAGE   \* MERGEFORMAT </w:instrText>
        </w:r>
        <w:r w:rsidRPr="00465525">
          <w:rPr>
            <w:rFonts w:ascii="Times New Roman" w:hAnsi="Times New Roman" w:cs="Times New Roman"/>
            <w:sz w:val="24"/>
          </w:rPr>
          <w:fldChar w:fldCharType="separate"/>
        </w:r>
        <w:r w:rsidR="00465525">
          <w:rPr>
            <w:rFonts w:ascii="Times New Roman" w:hAnsi="Times New Roman" w:cs="Times New Roman"/>
            <w:noProof/>
            <w:sz w:val="24"/>
          </w:rPr>
          <w:t>2</w:t>
        </w:r>
        <w:r w:rsidRPr="00465525">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7A" w:rsidRPr="00465525" w:rsidRDefault="00CA307A" w:rsidP="00052A4F">
    <w:pPr>
      <w:pStyle w:val="Header"/>
      <w:jc w:val="right"/>
      <w:rPr>
        <w:rStyle w:val="Strong"/>
        <w:rFonts w:ascii="Times New Roman" w:hAnsi="Times New Roman" w:cs="Times New Roman"/>
        <w:b w:val="0"/>
        <w:bCs w:val="0"/>
        <w:sz w:val="24"/>
      </w:rPr>
    </w:pPr>
    <w:r w:rsidRPr="00465525">
      <w:rPr>
        <w:rFonts w:ascii="Times New Roman" w:hAnsi="Times New Roman" w:cs="Times New Roman"/>
        <w:sz w:val="24"/>
      </w:rPr>
      <w:t xml:space="preserve">Running Head: </w:t>
    </w:r>
    <w:r w:rsidRPr="00465525">
      <w:rPr>
        <w:rStyle w:val="Strong"/>
        <w:rFonts w:ascii="Times New Roman" w:hAnsi="Times New Roman" w:cs="Times New Roman"/>
        <w:b w:val="0"/>
        <w:color w:val="212C43"/>
        <w:sz w:val="24"/>
      </w:rPr>
      <w:t>INTERNET SERVICE PROVIDERS</w:t>
    </w:r>
    <w:r w:rsidRPr="00465525">
      <w:rPr>
        <w:rFonts w:ascii="Times New Roman" w:hAnsi="Times New Roman" w:cs="Times New Roman"/>
        <w:sz w:val="24"/>
      </w:rPr>
      <w:t xml:space="preserve"> </w:t>
    </w:r>
    <w:r w:rsidRPr="00465525">
      <w:rPr>
        <w:rFonts w:ascii="Times New Roman" w:hAnsi="Times New Roman" w:cs="Times New Roman"/>
        <w:sz w:val="24"/>
      </w:rPr>
      <w:tab/>
    </w:r>
    <w:sdt>
      <w:sdtPr>
        <w:rPr>
          <w:rFonts w:ascii="Times New Roman" w:hAnsi="Times New Roman" w:cs="Times New Roman"/>
          <w:sz w:val="24"/>
        </w:rPr>
        <w:id w:val="46807003"/>
        <w:docPartObj>
          <w:docPartGallery w:val="Page Numbers (Top of Page)"/>
          <w:docPartUnique/>
        </w:docPartObj>
      </w:sdtPr>
      <w:sdtEndPr>
        <w:rPr>
          <w:noProof/>
        </w:rPr>
      </w:sdtEndPr>
      <w:sdtContent>
        <w:r w:rsidRPr="00465525">
          <w:rPr>
            <w:rFonts w:ascii="Times New Roman" w:hAnsi="Times New Roman" w:cs="Times New Roman"/>
            <w:sz w:val="24"/>
          </w:rPr>
          <w:fldChar w:fldCharType="begin"/>
        </w:r>
        <w:r w:rsidRPr="00465525">
          <w:rPr>
            <w:rFonts w:ascii="Times New Roman" w:hAnsi="Times New Roman" w:cs="Times New Roman"/>
            <w:sz w:val="24"/>
          </w:rPr>
          <w:instrText xml:space="preserve"> PAGE   \* MERGEFORMAT </w:instrText>
        </w:r>
        <w:r w:rsidRPr="00465525">
          <w:rPr>
            <w:rFonts w:ascii="Times New Roman" w:hAnsi="Times New Roman" w:cs="Times New Roman"/>
            <w:sz w:val="24"/>
          </w:rPr>
          <w:fldChar w:fldCharType="separate"/>
        </w:r>
        <w:r w:rsidR="00465525">
          <w:rPr>
            <w:rFonts w:ascii="Times New Roman" w:hAnsi="Times New Roman" w:cs="Times New Roman"/>
            <w:noProof/>
            <w:sz w:val="24"/>
          </w:rPr>
          <w:t>1</w:t>
        </w:r>
        <w:r w:rsidRPr="00465525">
          <w:rPr>
            <w:rFonts w:ascii="Times New Roman" w:hAnsi="Times New Roman" w:cs="Times New Roman"/>
            <w:noProof/>
            <w:sz w:val="24"/>
          </w:rPr>
          <w:fldChar w:fldCharType="end"/>
        </w:r>
      </w:sdtContent>
    </w:sdt>
  </w:p>
  <w:p w:rsidR="00CA307A" w:rsidRPr="00465525" w:rsidRDefault="00CA307A">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14634"/>
    <w:multiLevelType w:val="multilevel"/>
    <w:tmpl w:val="F800C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9716F8"/>
    <w:multiLevelType w:val="multilevel"/>
    <w:tmpl w:val="B37A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08308B"/>
    <w:multiLevelType w:val="multilevel"/>
    <w:tmpl w:val="1FD0B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362A4"/>
    <w:rsid w:val="00052A4F"/>
    <w:rsid w:val="000822DE"/>
    <w:rsid w:val="00084CE3"/>
    <w:rsid w:val="00094B78"/>
    <w:rsid w:val="000C28A7"/>
    <w:rsid w:val="000F27A0"/>
    <w:rsid w:val="000F2C3F"/>
    <w:rsid w:val="000F57FA"/>
    <w:rsid w:val="001526AF"/>
    <w:rsid w:val="001612C5"/>
    <w:rsid w:val="00173BFA"/>
    <w:rsid w:val="00190A73"/>
    <w:rsid w:val="00207EFC"/>
    <w:rsid w:val="002103E5"/>
    <w:rsid w:val="00232F62"/>
    <w:rsid w:val="002461F7"/>
    <w:rsid w:val="00250B5A"/>
    <w:rsid w:val="002C41AA"/>
    <w:rsid w:val="003971D5"/>
    <w:rsid w:val="00406AD9"/>
    <w:rsid w:val="00417024"/>
    <w:rsid w:val="00465525"/>
    <w:rsid w:val="005D6B79"/>
    <w:rsid w:val="007B2AC9"/>
    <w:rsid w:val="007D1B28"/>
    <w:rsid w:val="00867AF1"/>
    <w:rsid w:val="00874685"/>
    <w:rsid w:val="00995537"/>
    <w:rsid w:val="009C1875"/>
    <w:rsid w:val="00A16AC3"/>
    <w:rsid w:val="00A40B05"/>
    <w:rsid w:val="00B550A5"/>
    <w:rsid w:val="00BE7215"/>
    <w:rsid w:val="00C362A4"/>
    <w:rsid w:val="00C47F32"/>
    <w:rsid w:val="00CA307A"/>
    <w:rsid w:val="00CB3C4F"/>
    <w:rsid w:val="00D142EF"/>
    <w:rsid w:val="00DD7015"/>
    <w:rsid w:val="00E22A87"/>
    <w:rsid w:val="00F56942"/>
    <w:rsid w:val="00FA169D"/>
    <w:rsid w:val="00FA23AD"/>
    <w:rsid w:val="00FD0B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1AA"/>
  </w:style>
  <w:style w:type="paragraph" w:styleId="Heading1">
    <w:name w:val="heading 1"/>
    <w:basedOn w:val="Normal"/>
    <w:next w:val="Normal"/>
    <w:link w:val="Heading1Char"/>
    <w:uiPriority w:val="9"/>
    <w:qFormat/>
    <w:rsid w:val="003971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62A4"/>
    <w:rPr>
      <w:b/>
      <w:bCs/>
    </w:rPr>
  </w:style>
  <w:style w:type="paragraph" w:styleId="NormalWeb">
    <w:name w:val="Normal (Web)"/>
    <w:basedOn w:val="Normal"/>
    <w:uiPriority w:val="99"/>
    <w:semiHidden/>
    <w:unhideWhenUsed/>
    <w:rsid w:val="00084C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4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B78"/>
  </w:style>
  <w:style w:type="paragraph" w:styleId="Footer">
    <w:name w:val="footer"/>
    <w:basedOn w:val="Normal"/>
    <w:link w:val="FooterChar"/>
    <w:uiPriority w:val="99"/>
    <w:unhideWhenUsed/>
    <w:rsid w:val="00094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B78"/>
  </w:style>
  <w:style w:type="character" w:customStyle="1" w:styleId="apple-converted-space">
    <w:name w:val="apple-converted-space"/>
    <w:basedOn w:val="DefaultParagraphFont"/>
    <w:rsid w:val="003971D5"/>
  </w:style>
  <w:style w:type="character" w:customStyle="1" w:styleId="Heading1Char">
    <w:name w:val="Heading 1 Char"/>
    <w:basedOn w:val="DefaultParagraphFont"/>
    <w:link w:val="Heading1"/>
    <w:uiPriority w:val="9"/>
    <w:rsid w:val="003971D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971D5"/>
  </w:style>
  <w:style w:type="paragraph" w:styleId="BalloonText">
    <w:name w:val="Balloon Text"/>
    <w:basedOn w:val="Normal"/>
    <w:link w:val="BalloonTextChar"/>
    <w:uiPriority w:val="99"/>
    <w:semiHidden/>
    <w:unhideWhenUsed/>
    <w:rsid w:val="00F56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9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9658179">
      <w:bodyDiv w:val="1"/>
      <w:marLeft w:val="0"/>
      <w:marRight w:val="0"/>
      <w:marTop w:val="0"/>
      <w:marBottom w:val="0"/>
      <w:divBdr>
        <w:top w:val="none" w:sz="0" w:space="0" w:color="auto"/>
        <w:left w:val="none" w:sz="0" w:space="0" w:color="auto"/>
        <w:bottom w:val="none" w:sz="0" w:space="0" w:color="auto"/>
        <w:right w:val="none" w:sz="0" w:space="0" w:color="auto"/>
      </w:divBdr>
    </w:div>
    <w:div w:id="312492963">
      <w:bodyDiv w:val="1"/>
      <w:marLeft w:val="0"/>
      <w:marRight w:val="0"/>
      <w:marTop w:val="0"/>
      <w:marBottom w:val="0"/>
      <w:divBdr>
        <w:top w:val="none" w:sz="0" w:space="0" w:color="auto"/>
        <w:left w:val="none" w:sz="0" w:space="0" w:color="auto"/>
        <w:bottom w:val="none" w:sz="0" w:space="0" w:color="auto"/>
        <w:right w:val="none" w:sz="0" w:space="0" w:color="auto"/>
      </w:divBdr>
      <w:divsChild>
        <w:div w:id="1542014097">
          <w:marLeft w:val="0"/>
          <w:marRight w:val="0"/>
          <w:marTop w:val="0"/>
          <w:marBottom w:val="0"/>
          <w:divBdr>
            <w:top w:val="none" w:sz="0" w:space="0" w:color="auto"/>
            <w:left w:val="none" w:sz="0" w:space="0" w:color="auto"/>
            <w:bottom w:val="none" w:sz="0" w:space="0" w:color="auto"/>
            <w:right w:val="none" w:sz="0" w:space="0" w:color="auto"/>
          </w:divBdr>
          <w:divsChild>
            <w:div w:id="1510103262">
              <w:marLeft w:val="0"/>
              <w:marRight w:val="0"/>
              <w:marTop w:val="0"/>
              <w:marBottom w:val="0"/>
              <w:divBdr>
                <w:top w:val="none" w:sz="0" w:space="0" w:color="auto"/>
                <w:left w:val="none" w:sz="0" w:space="0" w:color="auto"/>
                <w:bottom w:val="none" w:sz="0" w:space="0" w:color="auto"/>
                <w:right w:val="none" w:sz="0" w:space="0" w:color="auto"/>
              </w:divBdr>
              <w:divsChild>
                <w:div w:id="1509174074">
                  <w:marLeft w:val="0"/>
                  <w:marRight w:val="0"/>
                  <w:marTop w:val="0"/>
                  <w:marBottom w:val="0"/>
                  <w:divBdr>
                    <w:top w:val="none" w:sz="0" w:space="0" w:color="auto"/>
                    <w:left w:val="none" w:sz="0" w:space="0" w:color="auto"/>
                    <w:bottom w:val="none" w:sz="0" w:space="0" w:color="auto"/>
                    <w:right w:val="none" w:sz="0" w:space="0" w:color="auto"/>
                  </w:divBdr>
                  <w:divsChild>
                    <w:div w:id="440884076">
                      <w:marLeft w:val="0"/>
                      <w:marRight w:val="0"/>
                      <w:marTop w:val="0"/>
                      <w:marBottom w:val="0"/>
                      <w:divBdr>
                        <w:top w:val="none" w:sz="0" w:space="0" w:color="auto"/>
                        <w:left w:val="none" w:sz="0" w:space="0" w:color="auto"/>
                        <w:bottom w:val="none" w:sz="0" w:space="0" w:color="auto"/>
                        <w:right w:val="none" w:sz="0" w:space="0" w:color="auto"/>
                      </w:divBdr>
                      <w:divsChild>
                        <w:div w:id="1413962886">
                          <w:marLeft w:val="-150"/>
                          <w:marRight w:val="-150"/>
                          <w:marTop w:val="0"/>
                          <w:marBottom w:val="0"/>
                          <w:divBdr>
                            <w:top w:val="none" w:sz="0" w:space="0" w:color="auto"/>
                            <w:left w:val="none" w:sz="0" w:space="0" w:color="auto"/>
                            <w:bottom w:val="none" w:sz="0" w:space="0" w:color="auto"/>
                            <w:right w:val="none" w:sz="0" w:space="0" w:color="auto"/>
                          </w:divBdr>
                          <w:divsChild>
                            <w:div w:id="1537622216">
                              <w:marLeft w:val="0"/>
                              <w:marRight w:val="0"/>
                              <w:marTop w:val="0"/>
                              <w:marBottom w:val="0"/>
                              <w:divBdr>
                                <w:top w:val="none" w:sz="0" w:space="0" w:color="auto"/>
                                <w:left w:val="none" w:sz="0" w:space="0" w:color="auto"/>
                                <w:bottom w:val="none" w:sz="0" w:space="0" w:color="auto"/>
                                <w:right w:val="none" w:sz="0" w:space="0" w:color="auto"/>
                              </w:divBdr>
                              <w:divsChild>
                                <w:div w:id="715009370">
                                  <w:marLeft w:val="0"/>
                                  <w:marRight w:val="0"/>
                                  <w:marTop w:val="0"/>
                                  <w:marBottom w:val="0"/>
                                  <w:divBdr>
                                    <w:top w:val="none" w:sz="0" w:space="0" w:color="auto"/>
                                    <w:left w:val="none" w:sz="0" w:space="0" w:color="auto"/>
                                    <w:bottom w:val="none" w:sz="0" w:space="0" w:color="auto"/>
                                    <w:right w:val="none" w:sz="0" w:space="0" w:color="auto"/>
                                  </w:divBdr>
                                  <w:divsChild>
                                    <w:div w:id="1768695151">
                                      <w:marLeft w:val="0"/>
                                      <w:marRight w:val="0"/>
                                      <w:marTop w:val="300"/>
                                      <w:marBottom w:val="300"/>
                                      <w:divBdr>
                                        <w:top w:val="none" w:sz="0" w:space="0" w:color="auto"/>
                                        <w:left w:val="none" w:sz="0" w:space="0" w:color="auto"/>
                                        <w:bottom w:val="none" w:sz="0" w:space="0" w:color="auto"/>
                                        <w:right w:val="none" w:sz="0" w:space="0" w:color="auto"/>
                                      </w:divBdr>
                                      <w:divsChild>
                                        <w:div w:id="44262687">
                                          <w:marLeft w:val="0"/>
                                          <w:marRight w:val="0"/>
                                          <w:marTop w:val="0"/>
                                          <w:marBottom w:val="0"/>
                                          <w:divBdr>
                                            <w:top w:val="none" w:sz="0" w:space="0" w:color="auto"/>
                                            <w:left w:val="none" w:sz="0" w:space="0" w:color="auto"/>
                                            <w:bottom w:val="none" w:sz="0" w:space="0" w:color="auto"/>
                                            <w:right w:val="none" w:sz="0" w:space="0" w:color="auto"/>
                                          </w:divBdr>
                                          <w:divsChild>
                                            <w:div w:id="965159402">
                                              <w:marLeft w:val="0"/>
                                              <w:marRight w:val="0"/>
                                              <w:marTop w:val="0"/>
                                              <w:marBottom w:val="0"/>
                                              <w:divBdr>
                                                <w:top w:val="none" w:sz="0" w:space="0" w:color="auto"/>
                                                <w:left w:val="none" w:sz="0" w:space="0" w:color="auto"/>
                                                <w:bottom w:val="none" w:sz="0" w:space="0" w:color="auto"/>
                                                <w:right w:val="none" w:sz="0" w:space="0" w:color="auto"/>
                                              </w:divBdr>
                                              <w:divsChild>
                                                <w:div w:id="1169250942">
                                                  <w:marLeft w:val="0"/>
                                                  <w:marRight w:val="0"/>
                                                  <w:marTop w:val="0"/>
                                                  <w:marBottom w:val="0"/>
                                                  <w:divBdr>
                                                    <w:top w:val="none" w:sz="0" w:space="0" w:color="auto"/>
                                                    <w:left w:val="none" w:sz="0" w:space="0" w:color="auto"/>
                                                    <w:bottom w:val="none" w:sz="0" w:space="0" w:color="auto"/>
                                                    <w:right w:val="none" w:sz="0" w:space="0" w:color="auto"/>
                                                  </w:divBdr>
                                                  <w:divsChild>
                                                    <w:div w:id="15318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7170153">
      <w:bodyDiv w:val="1"/>
      <w:marLeft w:val="0"/>
      <w:marRight w:val="0"/>
      <w:marTop w:val="0"/>
      <w:marBottom w:val="0"/>
      <w:divBdr>
        <w:top w:val="none" w:sz="0" w:space="0" w:color="auto"/>
        <w:left w:val="none" w:sz="0" w:space="0" w:color="auto"/>
        <w:bottom w:val="none" w:sz="0" w:space="0" w:color="auto"/>
        <w:right w:val="none" w:sz="0" w:space="0" w:color="auto"/>
      </w:divBdr>
    </w:div>
    <w:div w:id="489446350">
      <w:bodyDiv w:val="1"/>
      <w:marLeft w:val="0"/>
      <w:marRight w:val="0"/>
      <w:marTop w:val="0"/>
      <w:marBottom w:val="0"/>
      <w:divBdr>
        <w:top w:val="none" w:sz="0" w:space="0" w:color="auto"/>
        <w:left w:val="none" w:sz="0" w:space="0" w:color="auto"/>
        <w:bottom w:val="none" w:sz="0" w:space="0" w:color="auto"/>
        <w:right w:val="none" w:sz="0" w:space="0" w:color="auto"/>
      </w:divBdr>
    </w:div>
    <w:div w:id="545607150">
      <w:bodyDiv w:val="1"/>
      <w:marLeft w:val="0"/>
      <w:marRight w:val="0"/>
      <w:marTop w:val="0"/>
      <w:marBottom w:val="0"/>
      <w:divBdr>
        <w:top w:val="none" w:sz="0" w:space="0" w:color="auto"/>
        <w:left w:val="none" w:sz="0" w:space="0" w:color="auto"/>
        <w:bottom w:val="none" w:sz="0" w:space="0" w:color="auto"/>
        <w:right w:val="none" w:sz="0" w:space="0" w:color="auto"/>
      </w:divBdr>
      <w:divsChild>
        <w:div w:id="548538203">
          <w:marLeft w:val="0"/>
          <w:marRight w:val="0"/>
          <w:marTop w:val="0"/>
          <w:marBottom w:val="0"/>
          <w:divBdr>
            <w:top w:val="none" w:sz="0" w:space="0" w:color="auto"/>
            <w:left w:val="none" w:sz="0" w:space="0" w:color="auto"/>
            <w:bottom w:val="none" w:sz="0" w:space="0" w:color="auto"/>
            <w:right w:val="none" w:sz="0" w:space="0" w:color="auto"/>
          </w:divBdr>
          <w:divsChild>
            <w:div w:id="982002982">
              <w:marLeft w:val="0"/>
              <w:marRight w:val="0"/>
              <w:marTop w:val="0"/>
              <w:marBottom w:val="0"/>
              <w:divBdr>
                <w:top w:val="none" w:sz="0" w:space="0" w:color="auto"/>
                <w:left w:val="none" w:sz="0" w:space="0" w:color="auto"/>
                <w:bottom w:val="none" w:sz="0" w:space="0" w:color="auto"/>
                <w:right w:val="none" w:sz="0" w:space="0" w:color="auto"/>
              </w:divBdr>
              <w:divsChild>
                <w:div w:id="1591350225">
                  <w:marLeft w:val="0"/>
                  <w:marRight w:val="0"/>
                  <w:marTop w:val="300"/>
                  <w:marBottom w:val="300"/>
                  <w:divBdr>
                    <w:top w:val="none" w:sz="0" w:space="0" w:color="auto"/>
                    <w:left w:val="none" w:sz="0" w:space="0" w:color="auto"/>
                    <w:bottom w:val="none" w:sz="0" w:space="0" w:color="auto"/>
                    <w:right w:val="none" w:sz="0" w:space="0" w:color="auto"/>
                  </w:divBdr>
                  <w:divsChild>
                    <w:div w:id="232590149">
                      <w:marLeft w:val="0"/>
                      <w:marRight w:val="0"/>
                      <w:marTop w:val="0"/>
                      <w:marBottom w:val="0"/>
                      <w:divBdr>
                        <w:top w:val="none" w:sz="0" w:space="0" w:color="auto"/>
                        <w:left w:val="none" w:sz="0" w:space="0" w:color="auto"/>
                        <w:bottom w:val="none" w:sz="0" w:space="0" w:color="auto"/>
                        <w:right w:val="none" w:sz="0" w:space="0" w:color="auto"/>
                      </w:divBdr>
                      <w:divsChild>
                        <w:div w:id="1801218476">
                          <w:marLeft w:val="0"/>
                          <w:marRight w:val="0"/>
                          <w:marTop w:val="0"/>
                          <w:marBottom w:val="0"/>
                          <w:divBdr>
                            <w:top w:val="none" w:sz="0" w:space="0" w:color="auto"/>
                            <w:left w:val="none" w:sz="0" w:space="0" w:color="auto"/>
                            <w:bottom w:val="none" w:sz="0" w:space="0" w:color="auto"/>
                            <w:right w:val="none" w:sz="0" w:space="0" w:color="auto"/>
                          </w:divBdr>
                          <w:divsChild>
                            <w:div w:id="776759149">
                              <w:marLeft w:val="0"/>
                              <w:marRight w:val="0"/>
                              <w:marTop w:val="0"/>
                              <w:marBottom w:val="0"/>
                              <w:divBdr>
                                <w:top w:val="none" w:sz="0" w:space="0" w:color="auto"/>
                                <w:left w:val="none" w:sz="0" w:space="0" w:color="auto"/>
                                <w:bottom w:val="none" w:sz="0" w:space="0" w:color="auto"/>
                                <w:right w:val="none" w:sz="0" w:space="0" w:color="auto"/>
                              </w:divBdr>
                              <w:divsChild>
                                <w:div w:id="193104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633258">
      <w:bodyDiv w:val="1"/>
      <w:marLeft w:val="0"/>
      <w:marRight w:val="0"/>
      <w:marTop w:val="0"/>
      <w:marBottom w:val="0"/>
      <w:divBdr>
        <w:top w:val="none" w:sz="0" w:space="0" w:color="auto"/>
        <w:left w:val="none" w:sz="0" w:space="0" w:color="auto"/>
        <w:bottom w:val="none" w:sz="0" w:space="0" w:color="auto"/>
        <w:right w:val="none" w:sz="0" w:space="0" w:color="auto"/>
      </w:divBdr>
      <w:divsChild>
        <w:div w:id="1709913351">
          <w:marLeft w:val="0"/>
          <w:marRight w:val="0"/>
          <w:marTop w:val="0"/>
          <w:marBottom w:val="0"/>
          <w:divBdr>
            <w:top w:val="none" w:sz="0" w:space="0" w:color="auto"/>
            <w:left w:val="none" w:sz="0" w:space="0" w:color="auto"/>
            <w:bottom w:val="none" w:sz="0" w:space="0" w:color="auto"/>
            <w:right w:val="none" w:sz="0" w:space="0" w:color="auto"/>
          </w:divBdr>
          <w:divsChild>
            <w:div w:id="1286734070">
              <w:marLeft w:val="0"/>
              <w:marRight w:val="0"/>
              <w:marTop w:val="0"/>
              <w:marBottom w:val="0"/>
              <w:divBdr>
                <w:top w:val="none" w:sz="0" w:space="0" w:color="auto"/>
                <w:left w:val="none" w:sz="0" w:space="0" w:color="auto"/>
                <w:bottom w:val="none" w:sz="0" w:space="0" w:color="auto"/>
                <w:right w:val="none" w:sz="0" w:space="0" w:color="auto"/>
              </w:divBdr>
              <w:divsChild>
                <w:div w:id="1654332340">
                  <w:marLeft w:val="0"/>
                  <w:marRight w:val="0"/>
                  <w:marTop w:val="0"/>
                  <w:marBottom w:val="0"/>
                  <w:divBdr>
                    <w:top w:val="none" w:sz="0" w:space="0" w:color="auto"/>
                    <w:left w:val="none" w:sz="0" w:space="0" w:color="auto"/>
                    <w:bottom w:val="none" w:sz="0" w:space="0" w:color="auto"/>
                    <w:right w:val="none" w:sz="0" w:space="0" w:color="auto"/>
                  </w:divBdr>
                  <w:divsChild>
                    <w:div w:id="42835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96211">
      <w:bodyDiv w:val="1"/>
      <w:marLeft w:val="0"/>
      <w:marRight w:val="0"/>
      <w:marTop w:val="0"/>
      <w:marBottom w:val="0"/>
      <w:divBdr>
        <w:top w:val="none" w:sz="0" w:space="0" w:color="auto"/>
        <w:left w:val="none" w:sz="0" w:space="0" w:color="auto"/>
        <w:bottom w:val="none" w:sz="0" w:space="0" w:color="auto"/>
        <w:right w:val="none" w:sz="0" w:space="0" w:color="auto"/>
      </w:divBdr>
    </w:div>
    <w:div w:id="188587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Sch182</b:Tag>
    <b:SourceType>InternetSite</b:SourceType>
    <b:Guid>{40C8CED9-8A3E-4614-BEF9-A04510920D79}</b:Guid>
    <b:LCID>0</b:LCID>
    <b:Author>
      <b:Author>
        <b:NameList>
          <b:Person>
            <b:Last>Schafer</b:Last>
            <b:First>Dave</b:First>
          </b:Person>
        </b:NameList>
      </b:Author>
    </b:Author>
    <b:Title>CenturyLink vs. Spectrum</b:Title>
    <b:Year>2018</b:Year>
    <b:InternetSiteTitle>High Speed Internet.com</b:InternetSiteTitle>
    <b:Month>March</b:Month>
    <b:Day>21</b:Day>
    <b:YearAccessed>2019</b:YearAccessed>
    <b:MonthAccessed>October</b:MonthAccessed>
    <b:DayAccessed>2</b:DayAccessed>
    <b:URL>https://www.highspeedinternet.com/resources/centurylink-vs-time-warner-cable</b:URL>
    <b:RefOrder>2</b:RefOrder>
  </b:Source>
  <b:Source>
    <b:Tag>LeT12</b:Tag>
    <b:SourceType>ConferenceProceedings</b:SourceType>
    <b:Guid>{9A5BB623-9778-49F8-9243-433F2AE324C7}</b:Guid>
    <b:LCID>0</b:LCID>
    <b:Author>
      <b:Author>
        <b:NameList>
          <b:Person>
            <b:Last>Le</b:Last>
            <b:First>Tien</b:First>
            <b:Middle>Anh</b:Middle>
          </b:Person>
          <b:Person>
            <b:Last>Nguyen</b:Last>
            <b:First>Hang</b:First>
          </b:Person>
        </b:NameList>
      </b:Author>
    </b:Author>
    <b:Title>Application-aware cost function and its performance evaluation over scalable video conferencing services on heterogeneous networks</b:Title>
    <b:Year>2012</b:Year>
    <b:Pages>2185-2190</b:Pages>
    <b:ConferenceName>IEEE Wireless Communications and Networking Conference (WCNC)</b:ConferenceName>
    <b:Publisher>IEEE</b:Publisher>
    <b:RefOrder>1</b:RefOrder>
  </b:Source>
</b:Sources>
</file>

<file path=customXml/itemProps1.xml><?xml version="1.0" encoding="utf-8"?>
<ds:datastoreItem xmlns:ds="http://schemas.openxmlformats.org/officeDocument/2006/customXml" ds:itemID="{2F7E3D54-5B22-4D04-AAE7-9CBE8A5F6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Student's Name</dc:creator>
  <cp:lastModifiedBy>ADMIN</cp:lastModifiedBy>
  <cp:revision>7</cp:revision>
  <dcterms:created xsi:type="dcterms:W3CDTF">2019-10-02T07:50:00Z</dcterms:created>
  <dcterms:modified xsi:type="dcterms:W3CDTF">2019-10-02T08:11:00Z</dcterms:modified>
</cp:coreProperties>
</file>